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3" w:rsidRPr="000138DB" w:rsidRDefault="006C2183" w:rsidP="000138DB">
      <w:pPr>
        <w:shd w:val="clear" w:color="auto" w:fill="FFFFFF"/>
        <w:spacing w:after="0" w:line="240" w:lineRule="auto"/>
        <w:jc w:val="center"/>
        <w:outlineLvl w:val="0"/>
        <w:rPr>
          <w:rFonts w:ascii="Times New Roman" w:eastAsia="Times New Roman" w:hAnsi="Times New Roman" w:cs="Times New Roman"/>
          <w:b/>
          <w:bCs/>
          <w:color w:val="1F1A22"/>
          <w:kern w:val="36"/>
          <w:sz w:val="32"/>
          <w:szCs w:val="24"/>
          <w:lang w:eastAsia="fr-FR"/>
        </w:rPr>
      </w:pPr>
      <w:r w:rsidRPr="000138DB">
        <w:rPr>
          <w:rFonts w:ascii="Times New Roman" w:eastAsia="Times New Roman" w:hAnsi="Times New Roman" w:cs="Times New Roman"/>
          <w:b/>
          <w:bCs/>
          <w:color w:val="1F1A22"/>
          <w:kern w:val="36"/>
          <w:sz w:val="32"/>
          <w:szCs w:val="24"/>
          <w:lang w:eastAsia="fr-FR"/>
        </w:rPr>
        <w:t>Face aux catastrophes environnementales, nous devons anticiper le risque plutôt que de le subir</w:t>
      </w:r>
      <w:r w:rsidR="000138DB" w:rsidRPr="000138DB">
        <w:rPr>
          <w:rFonts w:ascii="Times New Roman" w:eastAsia="Times New Roman" w:hAnsi="Times New Roman" w:cs="Times New Roman"/>
          <w:b/>
          <w:bCs/>
          <w:color w:val="1F1A22"/>
          <w:kern w:val="36"/>
          <w:sz w:val="32"/>
          <w:szCs w:val="24"/>
          <w:lang w:eastAsia="fr-FR"/>
        </w:rPr>
        <w:t xml:space="preserve"> / 2020</w:t>
      </w:r>
    </w:p>
    <w:p w:rsidR="000138DB" w:rsidRPr="000138DB" w:rsidRDefault="000138DB" w:rsidP="000138DB">
      <w:pPr>
        <w:shd w:val="clear" w:color="auto" w:fill="FFFFFF"/>
        <w:spacing w:after="0" w:line="240" w:lineRule="auto"/>
        <w:jc w:val="both"/>
        <w:outlineLvl w:val="0"/>
        <w:rPr>
          <w:rFonts w:ascii="Times New Roman" w:eastAsia="Times New Roman" w:hAnsi="Times New Roman" w:cs="Times New Roman"/>
          <w:b/>
          <w:bCs/>
          <w:color w:val="1F1A22"/>
          <w:kern w:val="36"/>
          <w:sz w:val="24"/>
          <w:szCs w:val="24"/>
          <w:lang w:eastAsia="fr-FR"/>
        </w:rPr>
      </w:pPr>
    </w:p>
    <w:p w:rsidR="000138DB" w:rsidRDefault="006C2183" w:rsidP="000138DB">
      <w:pPr>
        <w:shd w:val="clear" w:color="auto" w:fill="FFFFFF"/>
        <w:spacing w:after="360" w:line="240" w:lineRule="auto"/>
        <w:jc w:val="both"/>
        <w:rPr>
          <w:rFonts w:ascii="Times New Roman" w:eastAsia="Times New Roman" w:hAnsi="Times New Roman" w:cs="Times New Roman"/>
          <w:i/>
          <w:iCs/>
          <w:color w:val="4A474B"/>
          <w:sz w:val="24"/>
          <w:szCs w:val="24"/>
          <w:lang w:eastAsia="fr-FR"/>
        </w:rPr>
      </w:pPr>
      <w:r w:rsidRPr="000138DB">
        <w:rPr>
          <w:rFonts w:ascii="Times New Roman" w:eastAsia="Times New Roman" w:hAnsi="Times New Roman" w:cs="Times New Roman"/>
          <w:i/>
          <w:iCs/>
          <w:color w:val="4A474B"/>
          <w:sz w:val="24"/>
          <w:szCs w:val="24"/>
          <w:lang w:eastAsia="fr-FR"/>
        </w:rPr>
        <w:t>Message de Jean-Michel Cousteau et Nicolas Imbert</w:t>
      </w:r>
      <w:r w:rsidR="000138DB">
        <w:rPr>
          <w:rFonts w:ascii="Times New Roman" w:eastAsia="Times New Roman" w:hAnsi="Times New Roman" w:cs="Times New Roman"/>
          <w:i/>
          <w:iCs/>
          <w:color w:val="4A474B"/>
          <w:sz w:val="24"/>
          <w:szCs w:val="24"/>
          <w:lang w:eastAsia="fr-FR"/>
        </w:rPr>
        <w:t>.</w:t>
      </w:r>
    </w:p>
    <w:p w:rsidR="000138DB" w:rsidRDefault="006C2183" w:rsidP="000138D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br/>
        <w:t>La</w:t>
      </w:r>
      <w:r w:rsidRPr="000138DB">
        <w:rPr>
          <w:rFonts w:ascii="Times New Roman" w:eastAsia="Times New Roman" w:hAnsi="Times New Roman" w:cs="Times New Roman"/>
          <w:bCs/>
          <w:color w:val="4A474B"/>
          <w:sz w:val="24"/>
          <w:szCs w:val="24"/>
          <w:lang w:eastAsia="fr-FR"/>
        </w:rPr>
        <w:t> catastrophe humaine et écologique survenue à Beyrouth le 4 août</w:t>
      </w:r>
      <w:r w:rsidRPr="000138DB">
        <w:rPr>
          <w:rFonts w:ascii="Times New Roman" w:eastAsia="Times New Roman" w:hAnsi="Times New Roman" w:cs="Times New Roman"/>
          <w:color w:val="4A474B"/>
          <w:sz w:val="24"/>
          <w:szCs w:val="24"/>
          <w:lang w:eastAsia="fr-FR"/>
        </w:rPr>
        <w:t> nous interpelle tous. Cette</w:t>
      </w:r>
      <w:r w:rsidRPr="000138DB">
        <w:rPr>
          <w:rFonts w:ascii="Times New Roman" w:eastAsia="Times New Roman" w:hAnsi="Times New Roman" w:cs="Times New Roman"/>
          <w:bCs/>
          <w:color w:val="4A474B"/>
          <w:sz w:val="24"/>
          <w:szCs w:val="24"/>
          <w:lang w:eastAsia="fr-FR"/>
        </w:rPr>
        <w:t> tragédie meurtrière et dévastatrice</w:t>
      </w:r>
      <w:r w:rsidRPr="000138DB">
        <w:rPr>
          <w:rFonts w:ascii="Times New Roman" w:eastAsia="Times New Roman" w:hAnsi="Times New Roman" w:cs="Times New Roman"/>
          <w:color w:val="4A474B"/>
          <w:sz w:val="24"/>
          <w:szCs w:val="24"/>
          <w:lang w:eastAsia="fr-FR"/>
        </w:rPr>
        <w:t> est survenue parce que du nitrate d’ammonium en grande quantité, était stockée proche du port, en pleine zone urbaine.</w:t>
      </w:r>
      <w:r w:rsidRPr="000138DB">
        <w:rPr>
          <w:rFonts w:ascii="Times New Roman" w:eastAsia="Times New Roman" w:hAnsi="Times New Roman" w:cs="Times New Roman"/>
          <w:color w:val="4A474B"/>
          <w:sz w:val="24"/>
          <w:szCs w:val="24"/>
          <w:lang w:eastAsia="fr-FR"/>
        </w:rPr>
        <w:br/>
        <w:t> </w:t>
      </w:r>
      <w:r w:rsidRPr="000138DB">
        <w:rPr>
          <w:rFonts w:ascii="Times New Roman" w:eastAsia="Times New Roman" w:hAnsi="Times New Roman" w:cs="Times New Roman"/>
          <w:color w:val="4A474B"/>
          <w:sz w:val="24"/>
          <w:szCs w:val="24"/>
          <w:lang w:eastAsia="fr-FR"/>
        </w:rPr>
        <w:br/>
        <w:t>Le </w:t>
      </w:r>
      <w:r w:rsidRPr="000138DB">
        <w:rPr>
          <w:rFonts w:ascii="Times New Roman" w:eastAsia="Times New Roman" w:hAnsi="Times New Roman" w:cs="Times New Roman"/>
          <w:bCs/>
          <w:color w:val="4A474B"/>
          <w:sz w:val="24"/>
          <w:szCs w:val="24"/>
          <w:lang w:eastAsia="fr-FR"/>
        </w:rPr>
        <w:t>25 juillet dernier</w:t>
      </w:r>
      <w:r w:rsidRPr="000138DB">
        <w:rPr>
          <w:rFonts w:ascii="Times New Roman" w:eastAsia="Times New Roman" w:hAnsi="Times New Roman" w:cs="Times New Roman"/>
          <w:color w:val="4A474B"/>
          <w:sz w:val="24"/>
          <w:szCs w:val="24"/>
          <w:lang w:eastAsia="fr-FR"/>
        </w:rPr>
        <w:t>, le </w:t>
      </w:r>
      <w:r w:rsidRPr="000138DB">
        <w:rPr>
          <w:rFonts w:ascii="Times New Roman" w:eastAsia="Times New Roman" w:hAnsi="Times New Roman" w:cs="Times New Roman"/>
          <w:bCs/>
          <w:color w:val="4A474B"/>
          <w:sz w:val="24"/>
          <w:szCs w:val="24"/>
          <w:lang w:eastAsia="fr-FR"/>
        </w:rPr>
        <w:t>vraquier MV Wakashio</w:t>
      </w:r>
      <w:r w:rsidRPr="000138DB">
        <w:rPr>
          <w:rFonts w:ascii="Times New Roman" w:eastAsia="Times New Roman" w:hAnsi="Times New Roman" w:cs="Times New Roman"/>
          <w:color w:val="4A474B"/>
          <w:sz w:val="24"/>
          <w:szCs w:val="24"/>
          <w:lang w:eastAsia="fr-FR"/>
        </w:rPr>
        <w:t>, qui a heurté un récif au sud-est de</w:t>
      </w:r>
      <w:r w:rsidRPr="000138DB">
        <w:rPr>
          <w:rFonts w:ascii="Times New Roman" w:eastAsia="Times New Roman" w:hAnsi="Times New Roman" w:cs="Times New Roman"/>
          <w:bCs/>
          <w:color w:val="4A474B"/>
          <w:sz w:val="24"/>
          <w:szCs w:val="24"/>
          <w:lang w:eastAsia="fr-FR"/>
        </w:rPr>
        <w:t> l’île Maurice</w:t>
      </w:r>
      <w:r w:rsidRPr="000138DB">
        <w:rPr>
          <w:rFonts w:ascii="Times New Roman" w:eastAsia="Times New Roman" w:hAnsi="Times New Roman" w:cs="Times New Roman"/>
          <w:color w:val="4A474B"/>
          <w:sz w:val="24"/>
          <w:szCs w:val="24"/>
          <w:lang w:eastAsia="fr-FR"/>
        </w:rPr>
        <w:t>, a provoqué une </w:t>
      </w:r>
      <w:r w:rsidRPr="000138DB">
        <w:rPr>
          <w:rFonts w:ascii="Times New Roman" w:eastAsia="Times New Roman" w:hAnsi="Times New Roman" w:cs="Times New Roman"/>
          <w:bCs/>
          <w:color w:val="4A474B"/>
          <w:sz w:val="24"/>
          <w:szCs w:val="24"/>
          <w:lang w:eastAsia="fr-FR"/>
        </w:rPr>
        <w:t>marée noire et des dégâts irrémédiables</w:t>
      </w:r>
      <w:r w:rsidRPr="000138DB">
        <w:rPr>
          <w:rFonts w:ascii="Times New Roman" w:eastAsia="Times New Roman" w:hAnsi="Times New Roman" w:cs="Times New Roman"/>
          <w:color w:val="4A474B"/>
          <w:sz w:val="24"/>
          <w:szCs w:val="24"/>
          <w:lang w:eastAsia="fr-FR"/>
        </w:rPr>
        <w:t> par l’importance du fuel qui s’est déjà échappé des coques, soit 800 tonnes. Il semblerait que les 2 000 tonnes restantes soient désormais récupérées et ce danger écarté, mais il reste désormais le problème de l’épave et de son déséchouage.</w:t>
      </w:r>
      <w:r w:rsidRPr="000138DB">
        <w:rPr>
          <w:rFonts w:ascii="Times New Roman" w:eastAsia="Times New Roman" w:hAnsi="Times New Roman" w:cs="Times New Roman"/>
          <w:color w:val="4A474B"/>
          <w:sz w:val="24"/>
          <w:szCs w:val="24"/>
          <w:lang w:eastAsia="fr-FR"/>
        </w:rPr>
        <w:br/>
        <w:t> </w:t>
      </w:r>
      <w:r w:rsidRPr="000138DB">
        <w:rPr>
          <w:rFonts w:ascii="Times New Roman" w:eastAsia="Times New Roman" w:hAnsi="Times New Roman" w:cs="Times New Roman"/>
          <w:color w:val="4A474B"/>
          <w:sz w:val="24"/>
          <w:szCs w:val="24"/>
          <w:lang w:eastAsia="fr-FR"/>
        </w:rPr>
        <w:br/>
        <w:t>L’</w:t>
      </w:r>
      <w:r w:rsidRPr="000138DB">
        <w:rPr>
          <w:rFonts w:ascii="Times New Roman" w:eastAsia="Times New Roman" w:hAnsi="Times New Roman" w:cs="Times New Roman"/>
          <w:bCs/>
          <w:color w:val="4A474B"/>
          <w:sz w:val="24"/>
          <w:szCs w:val="24"/>
          <w:lang w:eastAsia="fr-FR"/>
        </w:rPr>
        <w:t>explosion d’AZF à Toulouse</w:t>
      </w:r>
      <w:r w:rsidRPr="000138DB">
        <w:rPr>
          <w:rFonts w:ascii="Times New Roman" w:eastAsia="Times New Roman" w:hAnsi="Times New Roman" w:cs="Times New Roman"/>
          <w:color w:val="4A474B"/>
          <w:sz w:val="24"/>
          <w:szCs w:val="24"/>
          <w:lang w:eastAsia="fr-FR"/>
        </w:rPr>
        <w:t>, le </w:t>
      </w:r>
      <w:r w:rsidRPr="000138DB">
        <w:rPr>
          <w:rFonts w:ascii="Times New Roman" w:eastAsia="Times New Roman" w:hAnsi="Times New Roman" w:cs="Times New Roman"/>
          <w:bCs/>
          <w:color w:val="4A474B"/>
          <w:sz w:val="24"/>
          <w:szCs w:val="24"/>
          <w:lang w:eastAsia="fr-FR"/>
        </w:rPr>
        <w:t>naufrage du Kea Trader</w:t>
      </w:r>
      <w:r w:rsidRPr="000138DB">
        <w:rPr>
          <w:rFonts w:ascii="Times New Roman" w:eastAsia="Times New Roman" w:hAnsi="Times New Roman" w:cs="Times New Roman"/>
          <w:color w:val="4A474B"/>
          <w:sz w:val="24"/>
          <w:szCs w:val="24"/>
          <w:lang w:eastAsia="fr-FR"/>
        </w:rPr>
        <w:t> sur les récifs Dunant au large de la Nouvelle-Calédonie, la </w:t>
      </w:r>
      <w:r w:rsidRPr="000138DB">
        <w:rPr>
          <w:rFonts w:ascii="Times New Roman" w:eastAsia="Times New Roman" w:hAnsi="Times New Roman" w:cs="Times New Roman"/>
          <w:bCs/>
          <w:color w:val="4A474B"/>
          <w:sz w:val="24"/>
          <w:szCs w:val="24"/>
          <w:lang w:eastAsia="fr-FR"/>
        </w:rPr>
        <w:t>catastrophe de DeepWater Horizon </w:t>
      </w:r>
      <w:r w:rsidRPr="000138DB">
        <w:rPr>
          <w:rFonts w:ascii="Times New Roman" w:eastAsia="Times New Roman" w:hAnsi="Times New Roman" w:cs="Times New Roman"/>
          <w:color w:val="4A474B"/>
          <w:sz w:val="24"/>
          <w:szCs w:val="24"/>
          <w:lang w:eastAsia="fr-FR"/>
        </w:rPr>
        <w:t>dans le Golfe du Mexique sont autant d’autres catastrophes industrielles récentes qui montrent que nous </w:t>
      </w:r>
      <w:r w:rsidRPr="000138DB">
        <w:rPr>
          <w:rFonts w:ascii="Times New Roman" w:eastAsia="Times New Roman" w:hAnsi="Times New Roman" w:cs="Times New Roman"/>
          <w:bCs/>
          <w:color w:val="4A474B"/>
          <w:sz w:val="24"/>
          <w:szCs w:val="24"/>
          <w:lang w:eastAsia="fr-FR"/>
        </w:rPr>
        <w:t>n’avons encore que trop peu mis en place les dispositifs légaux, assurantiels et financiers </w:t>
      </w:r>
      <w:r w:rsidRPr="000138DB">
        <w:rPr>
          <w:rFonts w:ascii="Times New Roman" w:eastAsia="Times New Roman" w:hAnsi="Times New Roman" w:cs="Times New Roman"/>
          <w:color w:val="4A474B"/>
          <w:sz w:val="24"/>
          <w:szCs w:val="24"/>
          <w:lang w:eastAsia="fr-FR"/>
        </w:rPr>
        <w:t>pour d’une part </w:t>
      </w:r>
      <w:r w:rsidRPr="000138DB">
        <w:rPr>
          <w:rFonts w:ascii="Times New Roman" w:eastAsia="Times New Roman" w:hAnsi="Times New Roman" w:cs="Times New Roman"/>
          <w:bCs/>
          <w:color w:val="4A474B"/>
          <w:sz w:val="24"/>
          <w:szCs w:val="24"/>
          <w:lang w:eastAsia="fr-FR"/>
        </w:rPr>
        <w:t>prévenir le risque</w:t>
      </w:r>
      <w:r w:rsidRPr="000138DB">
        <w:rPr>
          <w:rFonts w:ascii="Times New Roman" w:eastAsia="Times New Roman" w:hAnsi="Times New Roman" w:cs="Times New Roman"/>
          <w:color w:val="4A474B"/>
          <w:sz w:val="24"/>
          <w:szCs w:val="24"/>
          <w:lang w:eastAsia="fr-FR"/>
        </w:rPr>
        <w:t>, d’autre part </w:t>
      </w:r>
      <w:r w:rsidRPr="000138DB">
        <w:rPr>
          <w:rFonts w:ascii="Times New Roman" w:eastAsia="Times New Roman" w:hAnsi="Times New Roman" w:cs="Times New Roman"/>
          <w:bCs/>
          <w:color w:val="4A474B"/>
          <w:sz w:val="24"/>
          <w:szCs w:val="24"/>
          <w:lang w:eastAsia="fr-FR"/>
        </w:rPr>
        <w:t>avoir préparé des dispositifs de réponse rapide</w:t>
      </w:r>
      <w:r w:rsidRPr="000138DB">
        <w:rPr>
          <w:rFonts w:ascii="Times New Roman" w:eastAsia="Times New Roman" w:hAnsi="Times New Roman" w:cs="Times New Roman"/>
          <w:color w:val="4A474B"/>
          <w:sz w:val="24"/>
          <w:szCs w:val="24"/>
          <w:lang w:eastAsia="fr-FR"/>
        </w:rPr>
        <w:t> permettant une action ciblée et efficace dès la survenue de l</w:t>
      </w:r>
      <w:r w:rsidR="000138DB">
        <w:rPr>
          <w:rFonts w:ascii="Times New Roman" w:eastAsia="Times New Roman" w:hAnsi="Times New Roman" w:cs="Times New Roman"/>
          <w:color w:val="4A474B"/>
          <w:sz w:val="24"/>
          <w:szCs w:val="24"/>
          <w:lang w:eastAsia="fr-FR"/>
        </w:rPr>
        <w:t>’accident, où qu’il advienne.</w:t>
      </w:r>
      <w:r w:rsidR="000138DB">
        <w:rPr>
          <w:rFonts w:ascii="Times New Roman" w:eastAsia="Times New Roman" w:hAnsi="Times New Roman" w:cs="Times New Roman"/>
          <w:color w:val="4A474B"/>
          <w:sz w:val="24"/>
          <w:szCs w:val="24"/>
          <w:lang w:eastAsia="fr-FR"/>
        </w:rPr>
        <w:br/>
      </w:r>
    </w:p>
    <w:p w:rsidR="000138DB" w:rsidRPr="000138DB" w:rsidRDefault="006C2183" w:rsidP="000138D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bCs/>
          <w:color w:val="4A474B"/>
          <w:sz w:val="24"/>
          <w:szCs w:val="24"/>
          <w:lang w:eastAsia="fr-FR"/>
        </w:rPr>
        <w:t>Jean-Michel Cousteau</w:t>
      </w:r>
      <w:r w:rsidRPr="000138DB">
        <w:rPr>
          <w:rFonts w:ascii="Times New Roman" w:eastAsia="Times New Roman" w:hAnsi="Times New Roman" w:cs="Times New Roman"/>
          <w:color w:val="4A474B"/>
          <w:sz w:val="24"/>
          <w:szCs w:val="24"/>
          <w:lang w:eastAsia="fr-FR"/>
        </w:rPr>
        <w:t>, président de Green Cross France et Territoires, rappelle que </w:t>
      </w:r>
      <w:r w:rsidRPr="000138DB">
        <w:rPr>
          <w:rFonts w:ascii="Times New Roman" w:eastAsia="Times New Roman" w:hAnsi="Times New Roman" w:cs="Times New Roman"/>
          <w:i/>
          <w:iCs/>
          <w:color w:val="4A474B"/>
          <w:sz w:val="24"/>
          <w:szCs w:val="24"/>
          <w:lang w:eastAsia="fr-FR"/>
        </w:rPr>
        <w:t>« </w:t>
      </w:r>
      <w:r w:rsidRPr="000138DB">
        <w:rPr>
          <w:rFonts w:ascii="Times New Roman" w:eastAsia="Times New Roman" w:hAnsi="Times New Roman" w:cs="Times New Roman"/>
          <w:bCs/>
          <w:i/>
          <w:iCs/>
          <w:color w:val="4A474B"/>
          <w:sz w:val="24"/>
          <w:szCs w:val="24"/>
          <w:lang w:eastAsia="fr-FR"/>
        </w:rPr>
        <w:t>l’espère humaine est la seule espèce qui a le privilège de choisir de ne pas disparaître</w:t>
      </w:r>
      <w:r w:rsidRPr="000138DB">
        <w:rPr>
          <w:rFonts w:ascii="Times New Roman" w:eastAsia="Times New Roman" w:hAnsi="Times New Roman" w:cs="Times New Roman"/>
          <w:i/>
          <w:iCs/>
          <w:color w:val="4A474B"/>
          <w:sz w:val="24"/>
          <w:szCs w:val="24"/>
          <w:lang w:eastAsia="fr-FR"/>
        </w:rPr>
        <w:t> ».</w:t>
      </w:r>
      <w:r w:rsidRPr="000138DB">
        <w:rPr>
          <w:rFonts w:ascii="Times New Roman" w:eastAsia="Times New Roman" w:hAnsi="Times New Roman" w:cs="Times New Roman"/>
          <w:color w:val="4A474B"/>
          <w:sz w:val="24"/>
          <w:szCs w:val="24"/>
          <w:lang w:eastAsia="fr-FR"/>
        </w:rPr>
        <w:br/>
        <w:t> </w:t>
      </w:r>
      <w:r w:rsidRPr="000138DB">
        <w:rPr>
          <w:rFonts w:ascii="Times New Roman" w:eastAsia="Times New Roman" w:hAnsi="Times New Roman" w:cs="Times New Roman"/>
          <w:color w:val="4A474B"/>
          <w:sz w:val="24"/>
          <w:szCs w:val="24"/>
          <w:lang w:eastAsia="fr-FR"/>
        </w:rPr>
        <w:br/>
        <w:t>Nous devons mettre en place, concrètement et dès que possible, un mécanisme légal, assuranciel et financier international pour prévenir la reproduction de telles catastrophes, qui à la fois valorise les entrepreneurs précautionneux et décourage les comportem</w:t>
      </w:r>
      <w:r w:rsidR="000138DB">
        <w:rPr>
          <w:rFonts w:ascii="Times New Roman" w:eastAsia="Times New Roman" w:hAnsi="Times New Roman" w:cs="Times New Roman"/>
          <w:color w:val="4A474B"/>
          <w:sz w:val="24"/>
          <w:szCs w:val="24"/>
          <w:lang w:eastAsia="fr-FR"/>
        </w:rPr>
        <w:t xml:space="preserve">ents irresponsables tant envers </w:t>
      </w:r>
      <w:r w:rsidRPr="000138DB">
        <w:rPr>
          <w:rFonts w:ascii="Times New Roman" w:eastAsia="Times New Roman" w:hAnsi="Times New Roman" w:cs="Times New Roman"/>
          <w:color w:val="4A474B"/>
          <w:sz w:val="24"/>
          <w:szCs w:val="24"/>
          <w:lang w:eastAsia="fr-FR"/>
        </w:rPr>
        <w:t>l’environnement que les populations.</w:t>
      </w:r>
    </w:p>
    <w:p w:rsidR="000138DB" w:rsidRDefault="006C2183" w:rsidP="000138D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t>Nous devons également être en mesure de mettre en place, former et structurer des brigades de secours environnementales au plus proche des populations, capables d’anticiper les risques et d’intervenir très rapidement après d’éventuelles catastrophes.</w:t>
      </w:r>
    </w:p>
    <w:p w:rsidR="006C2183" w:rsidRPr="000138DB" w:rsidRDefault="006C2183" w:rsidP="000138D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br/>
        <w:t>C’est pourquoi Green Cross propose, dans ce contexte de relance internationale post-covid19 qui permet de déployer rapidement, de rendre plus opérationnels les principes de prévention, précaution et pollueur-payeur sur toutes les activités générant un risque de catastrophe industrielle majeure, comme suit :   </w:t>
      </w:r>
    </w:p>
    <w:p w:rsidR="006C2183" w:rsidRPr="000138DB" w:rsidRDefault="006C2183" w:rsidP="000138DB">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t>Co-construction de manière transparente et démocratique sur chaque territoire d’un </w:t>
      </w:r>
      <w:r w:rsidRPr="000138DB">
        <w:rPr>
          <w:rFonts w:ascii="Times New Roman" w:eastAsia="Times New Roman" w:hAnsi="Times New Roman" w:cs="Times New Roman"/>
          <w:bCs/>
          <w:color w:val="4A474B"/>
          <w:sz w:val="24"/>
          <w:szCs w:val="24"/>
          <w:lang w:eastAsia="fr-FR"/>
        </w:rPr>
        <w:t>plan de prévention des risques environnementaux</w:t>
      </w:r>
      <w:r w:rsidRPr="000138DB">
        <w:rPr>
          <w:rFonts w:ascii="Times New Roman" w:eastAsia="Times New Roman" w:hAnsi="Times New Roman" w:cs="Times New Roman"/>
          <w:color w:val="4A474B"/>
          <w:sz w:val="24"/>
          <w:szCs w:val="24"/>
          <w:lang w:eastAsia="fr-FR"/>
        </w:rPr>
        <w:t>, impliquant à travers un processus démocratiquement transparents et les autorités, et les professionnels du risque, et les entreprises, et les citoyens, et permettant à chacun de savoir comment agir pour prévenir le risque et le réduire, mais aussi juste après une catastrophe,</w:t>
      </w:r>
    </w:p>
    <w:p w:rsidR="006C2183" w:rsidRPr="000138DB" w:rsidRDefault="006C2183" w:rsidP="000138DB">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lastRenderedPageBreak/>
        <w:t>Obligation pour les entreprises d’être </w:t>
      </w:r>
      <w:r w:rsidRPr="000138DB">
        <w:rPr>
          <w:rFonts w:ascii="Times New Roman" w:eastAsia="Times New Roman" w:hAnsi="Times New Roman" w:cs="Times New Roman"/>
          <w:bCs/>
          <w:color w:val="4A474B"/>
          <w:sz w:val="24"/>
          <w:szCs w:val="24"/>
          <w:lang w:eastAsia="fr-FR"/>
        </w:rPr>
        <w:t>correctement assurées pour l’ensemble des impacts de leurs activités et le risque de catastrophe industrielle</w:t>
      </w:r>
      <w:r w:rsidRPr="000138DB">
        <w:rPr>
          <w:rFonts w:ascii="Times New Roman" w:eastAsia="Times New Roman" w:hAnsi="Times New Roman" w:cs="Times New Roman"/>
          <w:color w:val="4A474B"/>
          <w:sz w:val="24"/>
          <w:szCs w:val="24"/>
          <w:lang w:eastAsia="fr-FR"/>
        </w:rPr>
        <w:t>,  et ce auprès d’assureurs ou de réassureurs non liés ni aux concepteurs, exploitants ou sous-traitants, ni aux Etats,</w:t>
      </w:r>
    </w:p>
    <w:p w:rsidR="006C2183" w:rsidRPr="000138DB" w:rsidRDefault="006C2183" w:rsidP="000138DB">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t>Obligation pour chaque entreprise de mettre à disposition 1% de ses revenus sur le territoire à un </w:t>
      </w:r>
      <w:r w:rsidRPr="000138DB">
        <w:rPr>
          <w:rFonts w:ascii="Times New Roman" w:eastAsia="Times New Roman" w:hAnsi="Times New Roman" w:cs="Times New Roman"/>
          <w:bCs/>
          <w:color w:val="4A474B"/>
          <w:sz w:val="24"/>
          <w:szCs w:val="24"/>
          <w:lang w:eastAsia="fr-FR"/>
        </w:rPr>
        <w:t>fond 1% risque industrie</w:t>
      </w:r>
      <w:r w:rsidRPr="000138DB">
        <w:rPr>
          <w:rFonts w:ascii="Times New Roman" w:eastAsia="Times New Roman" w:hAnsi="Times New Roman" w:cs="Times New Roman"/>
          <w:color w:val="4A474B"/>
          <w:sz w:val="24"/>
          <w:szCs w:val="24"/>
          <w:lang w:eastAsia="fr-FR"/>
        </w:rPr>
        <w:t>l, géré par le territoire – à l’échelle nationale ou subnationale – pour financer les conséquences d’éventuelles catastrophes, mais aussi la prévention des risques, l’indemnisation des victimes et la fin de vie. La consignation de ce fonds pouvant diminuer très rapidement dans le temps si l’exploitant démontre de manière contradictoire et prouvée sa performance environnementale.</w:t>
      </w:r>
    </w:p>
    <w:p w:rsidR="006C2183" w:rsidRPr="000138DB" w:rsidRDefault="006C2183" w:rsidP="000138DB">
      <w:pPr>
        <w:shd w:val="clear" w:color="auto" w:fill="FFFFFF"/>
        <w:spacing w:after="0" w:line="240" w:lineRule="auto"/>
        <w:jc w:val="both"/>
        <w:rPr>
          <w:rFonts w:ascii="Times New Roman" w:eastAsia="Times New Roman" w:hAnsi="Times New Roman" w:cs="Times New Roman"/>
          <w:color w:val="4A474B"/>
          <w:sz w:val="24"/>
          <w:szCs w:val="24"/>
          <w:lang w:eastAsia="fr-FR"/>
        </w:rPr>
      </w:pPr>
      <w:r w:rsidRPr="000138DB">
        <w:rPr>
          <w:rFonts w:ascii="Times New Roman" w:eastAsia="Times New Roman" w:hAnsi="Times New Roman" w:cs="Times New Roman"/>
          <w:color w:val="4A474B"/>
          <w:sz w:val="24"/>
          <w:szCs w:val="24"/>
          <w:lang w:eastAsia="fr-FR"/>
        </w:rPr>
        <w:t> </w:t>
      </w:r>
      <w:r w:rsidRPr="000138DB">
        <w:rPr>
          <w:rFonts w:ascii="Times New Roman" w:eastAsia="Times New Roman" w:hAnsi="Times New Roman" w:cs="Times New Roman"/>
          <w:color w:val="4A474B"/>
          <w:sz w:val="24"/>
          <w:szCs w:val="24"/>
          <w:lang w:eastAsia="fr-FR"/>
        </w:rPr>
        <w:br/>
      </w:r>
      <w:r w:rsidRPr="000138DB">
        <w:rPr>
          <w:rFonts w:ascii="Times New Roman" w:eastAsia="Times New Roman" w:hAnsi="Times New Roman" w:cs="Times New Roman"/>
          <w:bCs/>
          <w:color w:val="4A474B"/>
          <w:sz w:val="24"/>
          <w:szCs w:val="24"/>
          <w:lang w:eastAsia="fr-FR"/>
        </w:rPr>
        <w:t>Nicolas Imbert</w:t>
      </w:r>
      <w:r w:rsidRPr="000138DB">
        <w:rPr>
          <w:rFonts w:ascii="Times New Roman" w:eastAsia="Times New Roman" w:hAnsi="Times New Roman" w:cs="Times New Roman"/>
          <w:color w:val="4A474B"/>
          <w:sz w:val="24"/>
          <w:szCs w:val="24"/>
          <w:lang w:eastAsia="fr-FR"/>
        </w:rPr>
        <w:t>, directeur de Green Cross France et Territoires, précise</w:t>
      </w:r>
      <w:r w:rsidR="000138DB">
        <w:rPr>
          <w:rFonts w:ascii="Times New Roman" w:eastAsia="Times New Roman" w:hAnsi="Times New Roman" w:cs="Times New Roman"/>
          <w:color w:val="4A474B"/>
          <w:sz w:val="24"/>
          <w:szCs w:val="24"/>
          <w:lang w:eastAsia="fr-FR"/>
        </w:rPr>
        <w:t>,</w:t>
      </w:r>
      <w:r w:rsidRPr="000138DB">
        <w:rPr>
          <w:rFonts w:ascii="Times New Roman" w:eastAsia="Times New Roman" w:hAnsi="Times New Roman" w:cs="Times New Roman"/>
          <w:color w:val="4A474B"/>
          <w:sz w:val="24"/>
          <w:szCs w:val="24"/>
          <w:lang w:eastAsia="fr-FR"/>
        </w:rPr>
        <w:t> « </w:t>
      </w:r>
      <w:r w:rsidRPr="000138DB">
        <w:rPr>
          <w:rFonts w:ascii="Times New Roman" w:eastAsia="Times New Roman" w:hAnsi="Times New Roman" w:cs="Times New Roman"/>
          <w:i/>
          <w:iCs/>
          <w:color w:val="4A474B"/>
          <w:sz w:val="24"/>
          <w:szCs w:val="24"/>
          <w:lang w:eastAsia="fr-FR"/>
        </w:rPr>
        <w:t>cette période de reconstruction post-covid19 est critique, et c’est le moment idéal pour faire les bons changements structurels qui sont de vrais choix de société. En responsabilisant les entreprises par ce fond 1% risque industriel, en co-construisant les plans de prévention avec le public, de manière très transparente, en s’assurant que chacun est assuré à hauteur du risque qu’il génère, on s’autorise  à la fois à prévenir l’accident industriel et à en limiter l’impact et les dégâts. C’est aussi un signal très fort pour l’économie, qui récompensera les entreprises et les choix de consommation vertueux pour la planète, et pénalisera celles et ceux qui ne prennent pas des précautions à hauteur du risque généré. C’est pourquoi il nous faut agir maintenant, en commençant par les secteurs d’activités et les états déjà prêts. L’initiative se propagera ensuite très rapidement par effet d’entrainement.</w:t>
      </w:r>
      <w:r w:rsidR="000138DB">
        <w:rPr>
          <w:rFonts w:ascii="Times New Roman" w:eastAsia="Times New Roman" w:hAnsi="Times New Roman" w:cs="Times New Roman"/>
          <w:i/>
          <w:iCs/>
          <w:color w:val="4A474B"/>
          <w:sz w:val="24"/>
          <w:szCs w:val="24"/>
          <w:lang w:eastAsia="fr-FR"/>
        </w:rPr>
        <w:t> »</w:t>
      </w:r>
      <w:bookmarkStart w:id="0" w:name="_GoBack"/>
      <w:bookmarkEnd w:id="0"/>
    </w:p>
    <w:p w:rsidR="0061383F" w:rsidRPr="000138DB" w:rsidRDefault="0061383F" w:rsidP="000138DB">
      <w:pPr>
        <w:jc w:val="both"/>
        <w:rPr>
          <w:rFonts w:ascii="Times New Roman" w:hAnsi="Times New Roman" w:cs="Times New Roman"/>
          <w:sz w:val="24"/>
          <w:szCs w:val="24"/>
        </w:rPr>
      </w:pPr>
    </w:p>
    <w:sectPr w:rsidR="0061383F" w:rsidRPr="0001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972"/>
    <w:multiLevelType w:val="multilevel"/>
    <w:tmpl w:val="F31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5B4B"/>
    <w:multiLevelType w:val="multilevel"/>
    <w:tmpl w:val="1E2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83"/>
    <w:rsid w:val="000138DB"/>
    <w:rsid w:val="0061383F"/>
    <w:rsid w:val="006C2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33AE-BF0D-4F97-87AC-3E974F6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C2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2183"/>
    <w:rPr>
      <w:rFonts w:ascii="Times New Roman" w:eastAsia="Times New Roman" w:hAnsi="Times New Roman" w:cs="Times New Roman"/>
      <w:b/>
      <w:bCs/>
      <w:kern w:val="36"/>
      <w:sz w:val="48"/>
      <w:szCs w:val="48"/>
      <w:lang w:eastAsia="fr-FR"/>
    </w:rPr>
  </w:style>
  <w:style w:type="character" w:customStyle="1" w:styleId="author">
    <w:name w:val="author"/>
    <w:basedOn w:val="Policepardfaut"/>
    <w:rsid w:val="006C2183"/>
  </w:style>
  <w:style w:type="character" w:styleId="Lienhypertexte">
    <w:name w:val="Hyperlink"/>
    <w:basedOn w:val="Policepardfaut"/>
    <w:uiPriority w:val="99"/>
    <w:semiHidden/>
    <w:unhideWhenUsed/>
    <w:rsid w:val="006C2183"/>
    <w:rPr>
      <w:color w:val="0000FF"/>
      <w:u w:val="single"/>
    </w:rPr>
  </w:style>
  <w:style w:type="character" w:customStyle="1" w:styleId="terms">
    <w:name w:val="terms"/>
    <w:basedOn w:val="Policepardfaut"/>
    <w:rsid w:val="006C2183"/>
  </w:style>
  <w:style w:type="paragraph" w:styleId="NormalWeb">
    <w:name w:val="Normal (Web)"/>
    <w:basedOn w:val="Normal"/>
    <w:uiPriority w:val="99"/>
    <w:semiHidden/>
    <w:unhideWhenUsed/>
    <w:rsid w:val="006C2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C2183"/>
    <w:rPr>
      <w:i/>
      <w:iCs/>
    </w:rPr>
  </w:style>
  <w:style w:type="character" w:styleId="lev">
    <w:name w:val="Strong"/>
    <w:basedOn w:val="Policepardfaut"/>
    <w:uiPriority w:val="22"/>
    <w:qFormat/>
    <w:rsid w:val="006C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316">
      <w:bodyDiv w:val="1"/>
      <w:marLeft w:val="0"/>
      <w:marRight w:val="0"/>
      <w:marTop w:val="0"/>
      <w:marBottom w:val="0"/>
      <w:divBdr>
        <w:top w:val="none" w:sz="0" w:space="0" w:color="auto"/>
        <w:left w:val="none" w:sz="0" w:space="0" w:color="auto"/>
        <w:bottom w:val="none" w:sz="0" w:space="0" w:color="auto"/>
        <w:right w:val="none" w:sz="0" w:space="0" w:color="auto"/>
      </w:divBdr>
      <w:divsChild>
        <w:div w:id="106444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2</cp:revision>
  <dcterms:created xsi:type="dcterms:W3CDTF">2021-07-09T13:40:00Z</dcterms:created>
  <dcterms:modified xsi:type="dcterms:W3CDTF">2021-07-19T09:07:00Z</dcterms:modified>
</cp:coreProperties>
</file>